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08" w:rsidRPr="008B7608" w:rsidRDefault="008B7608" w:rsidP="008B7608">
      <w:pPr>
        <w:tabs>
          <w:tab w:val="left" w:pos="5020"/>
        </w:tabs>
        <w:spacing w:after="0" w:line="240" w:lineRule="auto"/>
        <w:ind w:left="5220"/>
        <w:rPr>
          <w:rFonts w:ascii="Times New Roman" w:eastAsia="Calibri" w:hAnsi="Times New Roman"/>
          <w:caps/>
          <w:sz w:val="28"/>
          <w:lang w:val="uk-UA"/>
        </w:rPr>
      </w:pPr>
      <w:r w:rsidRPr="008B7608">
        <w:rPr>
          <w:rFonts w:ascii="Times New Roman" w:eastAsia="Calibri" w:hAnsi="Times New Roman"/>
          <w:caps/>
          <w:sz w:val="28"/>
          <w:lang w:val="uk-UA"/>
        </w:rPr>
        <w:t xml:space="preserve">Затверджено    </w:t>
      </w:r>
      <w:r w:rsidRPr="008B7608">
        <w:rPr>
          <w:rFonts w:ascii="Times New Roman" w:eastAsia="Calibri" w:hAnsi="Times New Roman"/>
          <w:color w:val="000000"/>
          <w:sz w:val="28"/>
          <w:szCs w:val="28"/>
          <w:lang w:val="uk-UA"/>
        </w:rPr>
        <w:t>розпорядження голови     районної державної адміністрації</w:t>
      </w:r>
    </w:p>
    <w:p w:rsidR="008B7608" w:rsidRPr="008B7608" w:rsidRDefault="008B7608" w:rsidP="008B7608">
      <w:pPr>
        <w:spacing w:after="0" w:line="240" w:lineRule="auto"/>
        <w:ind w:left="5220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8B7608">
        <w:rPr>
          <w:rFonts w:ascii="Times New Roman" w:eastAsia="Calibri" w:hAnsi="Times New Roman"/>
          <w:color w:val="000000"/>
          <w:sz w:val="28"/>
          <w:szCs w:val="28"/>
          <w:lang w:val="uk-UA"/>
        </w:rPr>
        <w:t>20 червня  2017 року  № 51- 0</w:t>
      </w:r>
    </w:p>
    <w:p w:rsidR="008B7608" w:rsidRPr="008B7608" w:rsidRDefault="008B7608" w:rsidP="008B7608">
      <w:pPr>
        <w:tabs>
          <w:tab w:val="left" w:pos="5020"/>
        </w:tabs>
        <w:spacing w:after="0"/>
        <w:ind w:left="5220"/>
        <w:jc w:val="both"/>
        <w:rPr>
          <w:rFonts w:eastAsia="Calibri"/>
          <w:sz w:val="28"/>
          <w:lang w:val="uk-UA"/>
        </w:rPr>
      </w:pPr>
    </w:p>
    <w:p w:rsidR="008B7608" w:rsidRPr="008B7608" w:rsidRDefault="008B7608" w:rsidP="008B7608">
      <w:pPr>
        <w:tabs>
          <w:tab w:val="left" w:pos="5020"/>
        </w:tabs>
        <w:spacing w:after="0"/>
        <w:jc w:val="center"/>
        <w:rPr>
          <w:rFonts w:ascii="Times New Roman" w:eastAsia="Calibri" w:hAnsi="Times New Roman"/>
          <w:b/>
          <w:sz w:val="28"/>
          <w:lang w:val="uk-UA"/>
        </w:rPr>
      </w:pPr>
      <w:r w:rsidRPr="008B7608">
        <w:rPr>
          <w:rFonts w:ascii="Times New Roman" w:eastAsia="Calibri" w:hAnsi="Times New Roman"/>
          <w:b/>
          <w:sz w:val="28"/>
          <w:lang w:val="uk-UA"/>
        </w:rPr>
        <w:t xml:space="preserve">УМОВИ </w:t>
      </w:r>
      <w:r w:rsidRPr="008B7608">
        <w:rPr>
          <w:rFonts w:ascii="Times New Roman" w:eastAsia="Calibri" w:hAnsi="Times New Roman"/>
          <w:b/>
          <w:sz w:val="28"/>
          <w:lang w:val="uk-UA"/>
        </w:rPr>
        <w:br/>
        <w:t xml:space="preserve">проведення конкурсу на заміщення вакантної посади </w:t>
      </w:r>
      <w:r w:rsidRPr="008B7608">
        <w:rPr>
          <w:rFonts w:ascii="Times New Roman" w:eastAsia="Calibri" w:hAnsi="Times New Roman"/>
          <w:b/>
          <w:sz w:val="28"/>
          <w:szCs w:val="28"/>
          <w:lang w:val="uk-UA"/>
        </w:rPr>
        <w:t>державної служби категорії «В» - головного спеціаліста відділу бухгалтерського обліку, звітності та господарського забезпечення апарату</w:t>
      </w:r>
      <w:r w:rsidRPr="008B7608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8B7608">
        <w:rPr>
          <w:rFonts w:ascii="Times New Roman" w:eastAsia="Calibri" w:hAnsi="Times New Roman"/>
          <w:b/>
          <w:sz w:val="28"/>
          <w:lang w:val="uk-UA"/>
        </w:rPr>
        <w:t>Ніжинської районної державної адміністрації Чернігівської області</w:t>
      </w:r>
    </w:p>
    <w:p w:rsidR="008B7608" w:rsidRPr="008B7608" w:rsidRDefault="008B7608" w:rsidP="008B7608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8B7608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"/>
        <w:gridCol w:w="3372"/>
        <w:gridCol w:w="5506"/>
      </w:tblGrid>
      <w:tr w:rsidR="008B7608" w:rsidRPr="008B7608" w:rsidTr="003421B2">
        <w:tc>
          <w:tcPr>
            <w:tcW w:w="9735" w:type="dxa"/>
            <w:gridSpan w:val="3"/>
            <w:vAlign w:val="center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8B7608" w:rsidRPr="008B7608" w:rsidTr="003421B2">
        <w:tc>
          <w:tcPr>
            <w:tcW w:w="4026" w:type="dxa"/>
            <w:gridSpan w:val="2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Посадові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1. Забезпечує виконання завдань, покладених на відділ щодо забезпечення бюджетних відносин фінансово-господарської діяльності.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2. Веде основні господарські операції з надходження, збереження і використання запасів відповідно до затвердженого кошторису.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3. Самостійно складає або приймає до обліку первинні документи, систематизує інформацію відображену в цих документах, готує проміжні розрахунки для обліку господарський операцій та подає їх на розгляд головного бухгалтера.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4. Забезпечує контроль і відображення на рахунках бухгалтерського обліку господарських операцій, надання оперативної інформації, складання та подання зведеної бухгалтерської звітності встановленим органам у відповідні терміни.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5. Проводить інвентаризацію  основних засобів, нематеріальних активів, товарно-матеріальних цінностей, грошових коштів, розрахунків та інших статей балансу.</w:t>
            </w:r>
          </w:p>
          <w:p w:rsidR="008B7608" w:rsidRPr="008B7608" w:rsidRDefault="008B7608" w:rsidP="008B7608">
            <w:pPr>
              <w:suppressAutoHyphens/>
              <w:spacing w:after="0" w:line="240" w:lineRule="auto"/>
              <w:ind w:right="119"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6. Правильно та достовірно оформлює інформацію, включену до реєстр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i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в бюджетних зобов'язань та бюджетних ф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i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нансових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зобов'язань, даних п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i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дтвердних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документ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i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в, як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i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формуються та подаються в процес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i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казначейського обслуговування за прийнятою формою ведення бухгалтерського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обл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i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ку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.</w:t>
            </w:r>
          </w:p>
          <w:p w:rsidR="008B7608" w:rsidRPr="008B7608" w:rsidRDefault="008B7608" w:rsidP="008B7608">
            <w:pPr>
              <w:tabs>
                <w:tab w:val="left" w:pos="1239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7. Дотримується вимог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нормативно-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правових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актiв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щодо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використання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фiнансових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матерiальних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нематерiальних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) та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iнформацiйних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ресурсiв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пiд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час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прийняття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оформлення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щодо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проведення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господарських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операцiй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8B7608" w:rsidRPr="008B7608" w:rsidTr="003421B2">
        <w:tc>
          <w:tcPr>
            <w:tcW w:w="4026" w:type="dxa"/>
            <w:gridSpan w:val="2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Умови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760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-</w:t>
            </w:r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посадовий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оклад –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3200</w:t>
            </w:r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грн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B7608" w:rsidRPr="008B7608" w:rsidRDefault="008B7608" w:rsidP="008B760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- надбавка за ранг </w:t>
            </w:r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державного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службовця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відповідно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до постанови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Кабінету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Міні</w:t>
            </w:r>
            <w:proofErr w:type="gram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стр</w:t>
            </w:r>
            <w:proofErr w:type="gram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ів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від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6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квітня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2016 року №292 «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Деякі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питання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оплати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праці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державних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службовців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у 2016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році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»;</w:t>
            </w:r>
          </w:p>
          <w:p w:rsidR="008B7608" w:rsidRPr="008B7608" w:rsidRDefault="008B7608" w:rsidP="008B7608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</w:pPr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- надбавки та доплати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відповідно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до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статті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52 Закону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«Про </w:t>
            </w:r>
            <w:proofErr w:type="spellStart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>державну</w:t>
            </w:r>
            <w:proofErr w:type="spellEnd"/>
            <w:r w:rsidRPr="008B7608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</w:rPr>
              <w:t xml:space="preserve"> службу».</w:t>
            </w:r>
          </w:p>
        </w:tc>
      </w:tr>
      <w:tr w:rsidR="008B7608" w:rsidRPr="008B7608" w:rsidTr="003421B2">
        <w:tc>
          <w:tcPr>
            <w:tcW w:w="4026" w:type="dxa"/>
            <w:gridSpan w:val="2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про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строковість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безстроковість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призначення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5709" w:type="dxa"/>
          </w:tcPr>
          <w:p w:rsidR="008B7608" w:rsidRPr="008B7608" w:rsidRDefault="008B7608" w:rsidP="008B76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період відсутності основного працівника,</w:t>
            </w:r>
          </w:p>
          <w:p w:rsidR="008B7608" w:rsidRPr="008B7608" w:rsidRDefault="008B7608" w:rsidP="008B76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 07.03.2020</w:t>
            </w:r>
          </w:p>
        </w:tc>
      </w:tr>
      <w:tr w:rsidR="008B7608" w:rsidRPr="008B7608" w:rsidTr="003421B2">
        <w:tc>
          <w:tcPr>
            <w:tcW w:w="4026" w:type="dxa"/>
            <w:gridSpan w:val="2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Перелі</w:t>
            </w:r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документів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необхідних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участі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конкурсі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, та строк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їх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  <w:t>1) копія паспорта громадянина України;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</w:pPr>
            <w:bookmarkStart w:id="0" w:name="n72"/>
            <w:bookmarkEnd w:id="0"/>
            <w:r w:rsidRPr="008B7608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  <w:t xml:space="preserve">   2) письмова заява про участь у конкурсі із зазначенням основних мотивів до зайняття посади державної служби за формою згідно з </w:t>
            </w:r>
            <w:hyperlink r:id="rId5" w:anchor="n199" w:history="1">
              <w:r w:rsidRPr="008B7608">
                <w:rPr>
                  <w:rFonts w:ascii="Times New Roman" w:eastAsia="Calibri" w:hAnsi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lang w:val="uk-UA" w:eastAsia="zh-CN"/>
                </w:rPr>
                <w:t>додатком 2</w:t>
              </w:r>
            </w:hyperlink>
            <w:r w:rsidRPr="008B7608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року № 246, до якої додається резюме у довільній формі;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</w:pPr>
            <w:bookmarkStart w:id="1" w:name="n73"/>
            <w:bookmarkEnd w:id="1"/>
            <w:r w:rsidRPr="008B7608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  <w:t xml:space="preserve">   3) письмова заява, в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8B7608">
                <w:rPr>
                  <w:rFonts w:ascii="Times New Roman" w:eastAsia="Calibri" w:hAnsi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lang w:val="uk-UA" w:eastAsia="zh-CN"/>
                </w:rPr>
                <w:t>третьою</w:t>
              </w:r>
            </w:hyperlink>
            <w:r w:rsidRPr="008B7608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  <w:t xml:space="preserve"> або </w:t>
            </w:r>
            <w:hyperlink r:id="rId7" w:anchor="n14" w:tgtFrame="_blank" w:history="1">
              <w:r w:rsidRPr="008B7608">
                <w:rPr>
                  <w:rFonts w:ascii="Times New Roman" w:eastAsia="Calibri" w:hAnsi="Times New Roman"/>
                  <w:color w:val="000000"/>
                  <w:sz w:val="24"/>
                  <w:szCs w:val="24"/>
                  <w:u w:val="single"/>
                  <w:bdr w:val="none" w:sz="0" w:space="0" w:color="auto" w:frame="1"/>
                  <w:lang w:val="uk-UA" w:eastAsia="zh-CN"/>
                </w:rPr>
                <w:t>четвертою</w:t>
              </w:r>
            </w:hyperlink>
            <w:r w:rsidRPr="008B7608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bookmarkStart w:id="2" w:name="n74"/>
            <w:bookmarkEnd w:id="2"/>
            <w:r w:rsidRPr="008B7608">
              <w:rPr>
                <w:rFonts w:ascii="Times New Roman" w:eastAsia="Calibri" w:hAnsi="Times New Roman"/>
                <w:color w:val="000000"/>
                <w:sz w:val="24"/>
                <w:szCs w:val="24"/>
                <w:lang w:val="uk-UA" w:eastAsia="zh-CN"/>
              </w:rPr>
              <w:t xml:space="preserve">   4) копія (копії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) документа (документів) про освіту;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bookmarkStart w:id="3" w:name="n75"/>
            <w:bookmarkStart w:id="4" w:name="n76"/>
            <w:bookmarkEnd w:id="3"/>
            <w:bookmarkEnd w:id="4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  5) посвідчення атестації щодо вільного володіння державною мовою;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  6) заповнена особова картка встановленого зразка з фотокарткою;</w:t>
            </w:r>
          </w:p>
          <w:p w:rsidR="008B7608" w:rsidRPr="008B7608" w:rsidRDefault="008B7608" w:rsidP="008B7608">
            <w:pPr>
              <w:shd w:val="clear" w:color="auto" w:fill="FFFFFF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  7)</w:t>
            </w:r>
            <w:bookmarkStart w:id="5" w:name="n77"/>
            <w:bookmarkStart w:id="6" w:name="n78"/>
            <w:bookmarkEnd w:id="5"/>
            <w:bookmarkEnd w:id="6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декларація особи, уповноваженої на виконання функцій держави або місцевого самоврядування, за минулий рік (заповнена та подана відповідно до чинного законодавства).</w:t>
            </w:r>
          </w:p>
          <w:p w:rsidR="008B7608" w:rsidRPr="008B7608" w:rsidRDefault="008B7608" w:rsidP="008B760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  Документи приймаються протягом 20 календарних днів з дня оприлюднення інформації про проведення конкурсу (по 10 липня 2017 року до 17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год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00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хв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) за адресою: 16600, Чернігівська область, м. Ніжин, вул.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Батюка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, 5-а </w:t>
            </w:r>
          </w:p>
        </w:tc>
      </w:tr>
      <w:tr w:rsidR="008B7608" w:rsidRPr="008B7608" w:rsidTr="003421B2">
        <w:tc>
          <w:tcPr>
            <w:tcW w:w="4026" w:type="dxa"/>
            <w:gridSpan w:val="2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Дата, час і </w:t>
            </w:r>
            <w:proofErr w:type="spellStart"/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ісце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проведення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5709" w:type="dxa"/>
          </w:tcPr>
          <w:p w:rsidR="008B7608" w:rsidRPr="008B7608" w:rsidRDefault="008B7608" w:rsidP="008B76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14 липня  2017 року о 14.00, </w:t>
            </w:r>
            <w:r w:rsidRPr="008B7608">
              <w:rPr>
                <w:rFonts w:ascii="Times New Roman" w:eastAsia="Calibri" w:hAnsi="Times New Roman"/>
                <w:sz w:val="24"/>
                <w:szCs w:val="28"/>
                <w:lang w:val="uk-UA"/>
              </w:rPr>
              <w:t xml:space="preserve">м. Ніжин, Чернігівської області, вулиця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8"/>
                <w:lang w:val="uk-UA"/>
              </w:rPr>
              <w:t>Батюка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8"/>
                <w:lang w:val="uk-UA"/>
              </w:rPr>
              <w:t xml:space="preserve">,5-а, кабінет № 25, сектор управління персоналом апарату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районної державної адміністрації</w:t>
            </w:r>
          </w:p>
        </w:tc>
      </w:tr>
      <w:tr w:rsidR="008B7608" w:rsidRPr="008B7608" w:rsidTr="003421B2">
        <w:tc>
          <w:tcPr>
            <w:tcW w:w="4026" w:type="dxa"/>
            <w:gridSpan w:val="2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ізвище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ім’я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та по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батькові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електронної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пошти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надає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додаткову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інформацію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питань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проведення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5709" w:type="dxa"/>
          </w:tcPr>
          <w:p w:rsidR="008B7608" w:rsidRPr="008B7608" w:rsidRDefault="008B7608" w:rsidP="008B7608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hr-HR" w:eastAsia="zh-CN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Буракова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 Оксана Леонідівна,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hr-HR" w:eastAsia="zh-CN"/>
              </w:rPr>
              <w:t xml:space="preserve">тел.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>(046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31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zh-CN"/>
              </w:rPr>
              <w:t xml:space="preserve">) 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5-46-67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hr-HR" w:eastAsia="zh-CN"/>
              </w:rPr>
              <w:t xml:space="preserve">,  </w:t>
            </w:r>
            <w:hyperlink r:id="rId8" w:history="1">
              <w:r w:rsidRPr="008B7608">
                <w:rPr>
                  <w:rFonts w:ascii="Verdana" w:eastAsia="Calibri" w:hAnsi="Verdana" w:cs="Verdana"/>
                  <w:color w:val="000000"/>
                  <w:sz w:val="24"/>
                  <w:szCs w:val="24"/>
                  <w:u w:val="single"/>
                  <w:lang w:val="en-US" w:eastAsia="zh-CN"/>
                </w:rPr>
                <w:t>burakova</w:t>
              </w:r>
              <w:r w:rsidRPr="008B7608">
                <w:rPr>
                  <w:rFonts w:ascii="Verdana" w:eastAsia="Calibri" w:hAnsi="Verdana" w:cs="Verdana"/>
                  <w:bCs/>
                  <w:color w:val="000000"/>
                  <w:sz w:val="24"/>
                  <w:szCs w:val="24"/>
                  <w:u w:val="single"/>
                  <w:lang w:val="hr-HR" w:eastAsia="zh-CN"/>
                </w:rPr>
                <w:t>@cg.gov.ua</w:t>
              </w:r>
            </w:hyperlink>
          </w:p>
          <w:p w:rsidR="008B7608" w:rsidRPr="008B7608" w:rsidRDefault="008B7608" w:rsidP="008B76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7608" w:rsidRPr="008B7608" w:rsidTr="003421B2">
        <w:tc>
          <w:tcPr>
            <w:tcW w:w="9735" w:type="dxa"/>
            <w:gridSpan w:val="3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Вимоги до професійної компетентності</w:t>
            </w:r>
          </w:p>
        </w:tc>
      </w:tr>
      <w:tr w:rsidR="008B7608" w:rsidRPr="008B7608" w:rsidTr="003421B2">
        <w:tc>
          <w:tcPr>
            <w:tcW w:w="9735" w:type="dxa"/>
            <w:gridSpan w:val="3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Загальні вимоги</w:t>
            </w:r>
          </w:p>
        </w:tc>
      </w:tr>
      <w:tr w:rsidR="008B7608" w:rsidRPr="008B7608" w:rsidTr="003421B2">
        <w:tc>
          <w:tcPr>
            <w:tcW w:w="530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96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вища, ступінь молодшого бакалавра або бакалавра</w:t>
            </w:r>
          </w:p>
        </w:tc>
      </w:tr>
      <w:tr w:rsidR="008B7608" w:rsidRPr="008B7608" w:rsidTr="003421B2">
        <w:tc>
          <w:tcPr>
            <w:tcW w:w="530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96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Досвід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не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8B7608" w:rsidRPr="008B7608" w:rsidTr="003421B2">
        <w:tc>
          <w:tcPr>
            <w:tcW w:w="530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96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ільне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8B7608" w:rsidRPr="008B7608" w:rsidTr="003421B2">
        <w:tc>
          <w:tcPr>
            <w:tcW w:w="9735" w:type="dxa"/>
            <w:gridSpan w:val="3"/>
            <w:vAlign w:val="center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Спеціальні вимоги</w:t>
            </w:r>
          </w:p>
        </w:tc>
      </w:tr>
      <w:tr w:rsidR="008B7608" w:rsidRPr="008B7608" w:rsidTr="003421B2">
        <w:trPr>
          <w:trHeight w:val="710"/>
        </w:trPr>
        <w:tc>
          <w:tcPr>
            <w:tcW w:w="530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96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ища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освіта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напрямом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підготовки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Фінанси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«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Менеджер-економіст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іншими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спеціальностями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відповідно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професійного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спрямування</w:t>
            </w:r>
            <w:proofErr w:type="spellEnd"/>
          </w:p>
        </w:tc>
      </w:tr>
      <w:tr w:rsidR="008B7608" w:rsidRPr="008B7608" w:rsidTr="003421B2">
        <w:tc>
          <w:tcPr>
            <w:tcW w:w="530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96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Знання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uk-UA" w:eastAsia="zh-CN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Конституція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, Закон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«Про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державну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службу», Закон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«Про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запобігання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корупції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»,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lastRenderedPageBreak/>
              <w:t>Бюджетний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кодекс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Національні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положення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(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стандарти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)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бухгалтерського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proofErr w:type="gramStart"/>
            <w:r w:rsidRPr="008B7608">
              <w:rPr>
                <w:rFonts w:ascii="Times New Roman" w:eastAsia="Calibri" w:hAnsi="Times New Roman"/>
                <w:sz w:val="24"/>
              </w:rPr>
              <w:t>обл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</w:rPr>
              <w:t>іку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в державному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секторі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закони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що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стосуються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діяльності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ведення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бухгалтерського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обліку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(у тому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числі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Закон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«Про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бухгалтерський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облік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та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фінансову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звітність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»), постанови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Верховної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Ради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акти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Президента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та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Кабінету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Міні</w:t>
            </w:r>
            <w:proofErr w:type="gramStart"/>
            <w:r w:rsidRPr="008B7608">
              <w:rPr>
                <w:rFonts w:ascii="Times New Roman" w:eastAsia="Calibri" w:hAnsi="Times New Roman"/>
                <w:sz w:val="24"/>
              </w:rPr>
              <w:t>стр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</w:rPr>
              <w:t>ів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України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інші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підзаконні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нормативно-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правові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акти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які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мають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відношення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до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виконання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службових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</w:rPr>
              <w:t>обов’язків</w:t>
            </w:r>
            <w:proofErr w:type="spellEnd"/>
          </w:p>
        </w:tc>
      </w:tr>
      <w:tr w:rsidR="008B7608" w:rsidRPr="008B7608" w:rsidTr="003421B2">
        <w:tc>
          <w:tcPr>
            <w:tcW w:w="530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3496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Професійні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техн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ічні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lang w:val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8"/>
              </w:rPr>
              <w:t>О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8"/>
                <w:lang w:val="uk-UA"/>
              </w:rPr>
              <w:t>снови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8"/>
                <w:lang w:val="uk-UA"/>
              </w:rPr>
              <w:t xml:space="preserve"> державного управління; вміння практично застосовувати законодавство з питань бухгалтерського </w:t>
            </w:r>
            <w:proofErr w:type="gramStart"/>
            <w:r w:rsidRPr="008B7608">
              <w:rPr>
                <w:rFonts w:ascii="Times New Roman" w:eastAsia="Calibri" w:hAnsi="Times New Roman"/>
                <w:sz w:val="24"/>
                <w:szCs w:val="28"/>
                <w:lang w:val="uk-UA"/>
              </w:rPr>
              <w:t>обл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8"/>
                <w:lang w:val="uk-UA"/>
              </w:rPr>
              <w:t>іку; організація документообігу, кореспонденція рахунків бухгалтерського обліку; правила ділового етикету та ділової мови</w:t>
            </w:r>
          </w:p>
        </w:tc>
      </w:tr>
      <w:tr w:rsidR="008B7608" w:rsidRPr="008B7608" w:rsidTr="003421B2">
        <w:tc>
          <w:tcPr>
            <w:tcW w:w="530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496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Спец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іальний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досвід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ind w:firstLine="37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7608">
              <w:rPr>
                <w:rFonts w:eastAsia="Calibri"/>
                <w:sz w:val="24"/>
                <w:szCs w:val="24"/>
              </w:rPr>
              <w:t xml:space="preserve">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8B7608" w:rsidRPr="008B7608" w:rsidTr="003421B2">
        <w:tc>
          <w:tcPr>
            <w:tcW w:w="530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496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Знання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сучасних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інформаційних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5709" w:type="dxa"/>
            <w:vAlign w:val="center"/>
          </w:tcPr>
          <w:p w:rsidR="008B7608" w:rsidRPr="008B7608" w:rsidRDefault="008B7608" w:rsidP="008B76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комп’ютером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івень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досвідченого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користувача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офісним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пакетом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Microsoft Office (Word, Excel, Power Point).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Навички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інформаційно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пошуковими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системами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мережі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Інтернет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8B760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вміння користуватись професійною офісною </w:t>
            </w:r>
            <w:proofErr w:type="gramStart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техн</w:t>
            </w:r>
            <w:proofErr w:type="gramEnd"/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ікою, досвід оформлення матеріалів, пошук і здобування матеріалів</w:t>
            </w:r>
          </w:p>
        </w:tc>
      </w:tr>
      <w:tr w:rsidR="008B7608" w:rsidRPr="008B7608" w:rsidTr="003421B2">
        <w:tc>
          <w:tcPr>
            <w:tcW w:w="530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496" w:type="dxa"/>
          </w:tcPr>
          <w:p w:rsidR="008B7608" w:rsidRPr="008B7608" w:rsidRDefault="008B7608" w:rsidP="008B7608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Особистісні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5709" w:type="dxa"/>
          </w:tcPr>
          <w:p w:rsidR="008B7608" w:rsidRPr="008B7608" w:rsidRDefault="008B7608" w:rsidP="008B76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B760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ідповідальність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дисциплінованість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сумлінність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стресостійкість</w:t>
            </w:r>
            <w:proofErr w:type="spellEnd"/>
            <w:r w:rsidRPr="008B760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8B7608">
              <w:rPr>
                <w:rFonts w:ascii="Times New Roman" w:eastAsia="Calibri" w:hAnsi="Times New Roman"/>
                <w:sz w:val="24"/>
                <w:szCs w:val="24"/>
              </w:rPr>
              <w:t>комунікабельність</w:t>
            </w:r>
            <w:proofErr w:type="spellEnd"/>
          </w:p>
        </w:tc>
      </w:tr>
    </w:tbl>
    <w:p w:rsidR="008B7608" w:rsidRPr="008B7608" w:rsidRDefault="008B7608" w:rsidP="008B7608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8B7608" w:rsidRPr="008B7608" w:rsidRDefault="008B7608" w:rsidP="008B7608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8B7608" w:rsidRPr="008B7608" w:rsidRDefault="008B7608" w:rsidP="008B7608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>Заступник голови районної</w:t>
      </w:r>
    </w:p>
    <w:p w:rsidR="008B7608" w:rsidRPr="008B7608" w:rsidRDefault="008B7608" w:rsidP="008B7608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>державної адміністрації</w:t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  <w:t xml:space="preserve">О.М. </w:t>
      </w:r>
      <w:proofErr w:type="spellStart"/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>Мелашенко</w:t>
      </w:r>
      <w:proofErr w:type="spellEnd"/>
    </w:p>
    <w:p w:rsidR="008B7608" w:rsidRPr="008B7608" w:rsidRDefault="008B7608" w:rsidP="008B7608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  <w:r w:rsidRPr="008B7608">
        <w:rPr>
          <w:rFonts w:ascii="Times New Roman" w:eastAsia="Calibri" w:hAnsi="Times New Roman"/>
          <w:b/>
          <w:i/>
          <w:sz w:val="28"/>
          <w:szCs w:val="28"/>
          <w:lang w:val="uk-UA"/>
        </w:rPr>
        <w:tab/>
      </w:r>
    </w:p>
    <w:p w:rsidR="008B7608" w:rsidRPr="008B7608" w:rsidRDefault="008B7608" w:rsidP="008B7608">
      <w:pPr>
        <w:rPr>
          <w:rFonts w:eastAsia="Calibri"/>
          <w:lang w:val="uk-UA"/>
        </w:rPr>
      </w:pPr>
    </w:p>
    <w:p w:rsidR="007044C9" w:rsidRPr="008B7608" w:rsidRDefault="007044C9" w:rsidP="008B7608">
      <w:pPr>
        <w:rPr>
          <w:lang w:val="uk-UA"/>
        </w:rPr>
      </w:pPr>
      <w:bookmarkStart w:id="7" w:name="_GoBack"/>
      <w:bookmarkEnd w:id="7"/>
    </w:p>
    <w:sectPr w:rsidR="007044C9" w:rsidRPr="008B7608" w:rsidSect="00A010DB">
      <w:pgSz w:w="11906" w:h="16838"/>
      <w:pgMar w:top="96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18"/>
    <w:rsid w:val="004D6718"/>
    <w:rsid w:val="006932A3"/>
    <w:rsid w:val="007044C9"/>
    <w:rsid w:val="008B7608"/>
    <w:rsid w:val="00E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A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932A3"/>
    <w:pPr>
      <w:suppressAutoHyphens/>
      <w:overflowPunct w:val="0"/>
      <w:autoSpaceDE w:val="0"/>
      <w:spacing w:after="280" w:line="240" w:lineRule="auto"/>
      <w:textAlignment w:val="baseline"/>
    </w:pPr>
    <w:rPr>
      <w:rFonts w:ascii="Times New Roman" w:hAnsi="Times New Roman"/>
      <w:sz w:val="24"/>
      <w:szCs w:val="24"/>
      <w:lang w:val="hr-HR" w:eastAsia="zh-CN"/>
    </w:rPr>
  </w:style>
  <w:style w:type="character" w:styleId="a3">
    <w:name w:val="Hyperlink"/>
    <w:uiPriority w:val="99"/>
    <w:unhideWhenUsed/>
    <w:rsid w:val="006932A3"/>
    <w:rPr>
      <w:rFonts w:ascii="Verdana" w:hAnsi="Verdana" w:cs="Verdana" w:hint="default"/>
      <w:color w:val="000000"/>
      <w:u w:val="single"/>
    </w:rPr>
  </w:style>
  <w:style w:type="paragraph" w:customStyle="1" w:styleId="rvps14">
    <w:name w:val="rvps14"/>
    <w:basedOn w:val="a"/>
    <w:rsid w:val="00693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0">
    <w:name w:val="rvts0"/>
    <w:basedOn w:val="a0"/>
    <w:rsid w:val="006932A3"/>
  </w:style>
  <w:style w:type="paragraph" w:customStyle="1" w:styleId="rvps12">
    <w:name w:val="rvps12"/>
    <w:basedOn w:val="a"/>
    <w:rsid w:val="00693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6932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15">
    <w:name w:val="rvts15"/>
    <w:basedOn w:val="a0"/>
    <w:rsid w:val="0069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A3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932A3"/>
    <w:pPr>
      <w:suppressAutoHyphens/>
      <w:overflowPunct w:val="0"/>
      <w:autoSpaceDE w:val="0"/>
      <w:spacing w:after="280" w:line="240" w:lineRule="auto"/>
      <w:textAlignment w:val="baseline"/>
    </w:pPr>
    <w:rPr>
      <w:rFonts w:ascii="Times New Roman" w:hAnsi="Times New Roman"/>
      <w:sz w:val="24"/>
      <w:szCs w:val="24"/>
      <w:lang w:val="hr-HR" w:eastAsia="zh-CN"/>
    </w:rPr>
  </w:style>
  <w:style w:type="character" w:styleId="a3">
    <w:name w:val="Hyperlink"/>
    <w:uiPriority w:val="99"/>
    <w:unhideWhenUsed/>
    <w:rsid w:val="006932A3"/>
    <w:rPr>
      <w:rFonts w:ascii="Verdana" w:hAnsi="Verdana" w:cs="Verdana" w:hint="default"/>
      <w:color w:val="000000"/>
      <w:u w:val="single"/>
    </w:rPr>
  </w:style>
  <w:style w:type="paragraph" w:customStyle="1" w:styleId="rvps14">
    <w:name w:val="rvps14"/>
    <w:basedOn w:val="a"/>
    <w:rsid w:val="00693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0">
    <w:name w:val="rvts0"/>
    <w:basedOn w:val="a0"/>
    <w:rsid w:val="006932A3"/>
  </w:style>
  <w:style w:type="paragraph" w:customStyle="1" w:styleId="rvps12">
    <w:name w:val="rvps12"/>
    <w:basedOn w:val="a"/>
    <w:rsid w:val="00693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6932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15">
    <w:name w:val="rvts15"/>
    <w:basedOn w:val="a0"/>
    <w:rsid w:val="0069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kova@cg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hyperlink" Target="http://zakon3.rada.gov.ua/laws/show/246-2016-%D0%BF/print14622643691504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3882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</dc:creator>
  <cp:keywords/>
  <dc:description/>
  <cp:lastModifiedBy>Буракова</cp:lastModifiedBy>
  <cp:revision>5</cp:revision>
  <cp:lastPrinted>2017-06-12T12:28:00Z</cp:lastPrinted>
  <dcterms:created xsi:type="dcterms:W3CDTF">2017-06-12T12:27:00Z</dcterms:created>
  <dcterms:modified xsi:type="dcterms:W3CDTF">2017-06-22T08:48:00Z</dcterms:modified>
</cp:coreProperties>
</file>